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Парахин Дмитрий Николаевич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262202232925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322265100028203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